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164 vom 26. November 2014</w:t>
      </w:r>
    </w:p>
    <w:p>
      <w:r>
        <w:t>BL Gerichte, 2014-11-26, DE</w:t>
      </w:r>
    </w:p>
    <w:p>
      <w:r>
        <w:rPr>
          <w:b/>
        </w:rPr>
        <w:t xml:space="preserve">Quelle: </w:t>
      </w:r>
      <w:r>
        <w:t>https://mcp.opencaselaw.ch/entscheid/bl_gerichte_810 2014 164</w:t>
      </w:r>
    </w:p>
    <w:p>
      <w:r>
        <w:t>FR: BL_GERICHTE 810 2014 164 du 26 novembre 2014</w:t>
      </w:r>
    </w:p>
    <w:p>
      <w:r>
        <w:t>IT: BL_GERICHTE 810 2014 164 del 26 novembre 2014</w:t>
      </w:r>
    </w:p>
    <w:p>
      <w:pPr>
        <w:pStyle w:val="Heading2"/>
      </w:pPr>
      <w:r>
        <w:t>Regeste</w:t>
      </w:r>
    </w:p>
    <w:p>
      <w:r>
        <w:t>Widerruf der Aufenthaltsbewilligung und Wegweisung (RRB Nr. 863 vom 10. Juni 2014)</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Es werden keine Verfahrenskosten erhoben. Der geleistete Kostenvorschuss in der Höhe von Fr. 2‘100.-- wird dem Beschwerdeführer zurück erstattet.</w:t>
      </w:r>
    </w:p>
    <w:p>
      <w:r>
        <w:rPr>
          <w:b/>
        </w:rPr>
        <w:t>E. 4</w:t>
      </w:r>
    </w:p>
    <w:p>
      <w:r>
        <w:t>Der Regierungsrat des Kantons Basel-Landschaft hat dem Beschwerdeführer eine Parteientschädigung in der Höhe von Fr. 3'311.15 (inkl. Auslagen und 8 % Mehrwertsteuer)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